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E0" w:rsidRPr="00131BE0" w:rsidRDefault="00131BE0">
      <w:pPr>
        <w:pStyle w:val="ConsPlusNormal"/>
        <w:jc w:val="center"/>
      </w:pPr>
    </w:p>
    <w:p w:rsidR="00131BE0" w:rsidRPr="00131BE0" w:rsidRDefault="00131BE0">
      <w:pPr>
        <w:pStyle w:val="ConsPlusTitle"/>
        <w:jc w:val="center"/>
      </w:pPr>
      <w:r w:rsidRPr="00131BE0">
        <w:t>МИНИСТЕРСТВО ФИНАНСОВ РОССИЙСКОЙ ФЕДЕРАЦИИ</w:t>
      </w:r>
    </w:p>
    <w:p w:rsidR="00131BE0" w:rsidRPr="00131BE0" w:rsidRDefault="00131BE0">
      <w:pPr>
        <w:pStyle w:val="ConsPlusTitle"/>
        <w:jc w:val="center"/>
      </w:pPr>
    </w:p>
    <w:p w:rsidR="00131BE0" w:rsidRPr="00131BE0" w:rsidRDefault="00131BE0">
      <w:pPr>
        <w:pStyle w:val="ConsPlusTitle"/>
        <w:jc w:val="center"/>
      </w:pPr>
      <w:r w:rsidRPr="00131BE0">
        <w:t>ФЕДЕРАЛЬНОЕ КАЗНАЧЕЙСТВО</w:t>
      </w:r>
    </w:p>
    <w:p w:rsidR="00131BE0" w:rsidRPr="00131BE0" w:rsidRDefault="00131BE0">
      <w:pPr>
        <w:pStyle w:val="ConsPlusTitle"/>
        <w:jc w:val="center"/>
      </w:pPr>
    </w:p>
    <w:p w:rsidR="00131BE0" w:rsidRPr="00131BE0" w:rsidRDefault="00131BE0">
      <w:pPr>
        <w:pStyle w:val="ConsPlusTitle"/>
        <w:jc w:val="center"/>
      </w:pPr>
      <w:r w:rsidRPr="00131BE0">
        <w:t>ПРИКАЗ</w:t>
      </w:r>
    </w:p>
    <w:p w:rsidR="00131BE0" w:rsidRPr="00131BE0" w:rsidRDefault="00131BE0">
      <w:pPr>
        <w:pStyle w:val="ConsPlusTitle"/>
        <w:jc w:val="center"/>
      </w:pPr>
      <w:r w:rsidRPr="00131BE0">
        <w:t>от 15 декабря 2009 г. N 13н</w:t>
      </w:r>
    </w:p>
    <w:p w:rsidR="00131BE0" w:rsidRPr="00131BE0" w:rsidRDefault="00131BE0">
      <w:pPr>
        <w:pStyle w:val="ConsPlusTitle"/>
        <w:jc w:val="center"/>
      </w:pPr>
    </w:p>
    <w:p w:rsidR="00131BE0" w:rsidRPr="00131BE0" w:rsidRDefault="00131BE0">
      <w:pPr>
        <w:pStyle w:val="ConsPlusTitle"/>
        <w:jc w:val="center"/>
      </w:pPr>
      <w:r w:rsidRPr="00131BE0">
        <w:t>ОБ УТВЕРЖДЕНИИ ПОРЯДКА</w:t>
      </w:r>
    </w:p>
    <w:p w:rsidR="00131BE0" w:rsidRPr="00131BE0" w:rsidRDefault="00131BE0">
      <w:pPr>
        <w:pStyle w:val="ConsPlusTitle"/>
        <w:jc w:val="center"/>
      </w:pPr>
      <w:r w:rsidRPr="00131BE0">
        <w:t>ОСУЩЕСТВЛЕНИЯ ТЕРРИТОРИАЛЬНЫМИ ОРГАНАМИ ФЕДЕРАЛЬНОГО</w:t>
      </w:r>
    </w:p>
    <w:p w:rsidR="00131BE0" w:rsidRPr="00131BE0" w:rsidRDefault="00131BE0">
      <w:pPr>
        <w:pStyle w:val="ConsPlusTitle"/>
        <w:jc w:val="center"/>
      </w:pPr>
      <w:r w:rsidRPr="00131BE0">
        <w:t>КАЗНАЧЕЙСТВА ОПЕРАЦИЙ СО СРЕДСТВАМИ ГОСУДАРСТВЕННОЙ</w:t>
      </w:r>
    </w:p>
    <w:p w:rsidR="00131BE0" w:rsidRPr="00131BE0" w:rsidRDefault="00131BE0">
      <w:pPr>
        <w:pStyle w:val="ConsPlusTitle"/>
        <w:jc w:val="center"/>
      </w:pPr>
      <w:r w:rsidRPr="00131BE0">
        <w:t>КОМПАНИИ "РОССИЙСКИЕ АВТОМОБИЛЬНЫЕ ДОРОГИ"</w:t>
      </w:r>
    </w:p>
    <w:p w:rsidR="00131BE0" w:rsidRPr="00131BE0" w:rsidRDefault="00131BE0">
      <w:pPr>
        <w:pStyle w:val="ConsPlusNormal"/>
        <w:jc w:val="center"/>
      </w:pPr>
      <w:r w:rsidRPr="00131BE0">
        <w:t>Список изменяющих документов</w:t>
      </w:r>
    </w:p>
    <w:p w:rsidR="00131BE0" w:rsidRPr="00131BE0" w:rsidRDefault="00131BE0">
      <w:pPr>
        <w:pStyle w:val="ConsPlusNormal"/>
        <w:jc w:val="center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  <w:r w:rsidRPr="00131BE0">
        <w:t>В целях реализации Федерального закона от 24 ноября 2008 г. N 204-ФЗ "О федеральном бюджете на 2009 год и на плановый период 2010 и 2011 годов" (Собрание законодательства Российской Федерации, 2008, N 48, ст. 5499; 2009, N 1, ст. 32; N 18, ст. 2156; N 26, ст. 3129; N 29, ст. 3583; N 40, ст. 4640) приказываю: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1. Утвердить прилагаемый Порядок осуществления территориальными органами Федерального казначейства операций со средствами Государственной компании "Российские автомобильные дороги".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2. Управлению информационных систем (А.М. Гусельников) обеспечить доработку программного обеспечения, находящегося в эксплуатации территориальных органов Федерального казначейства, в целях реализации настоящего Приказа.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3. Контроль за исполнением настоящего Приказа оставляю за собой.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Руководитель</w:t>
      </w:r>
    </w:p>
    <w:p w:rsidR="00131BE0" w:rsidRPr="00131BE0" w:rsidRDefault="00131BE0">
      <w:pPr>
        <w:pStyle w:val="ConsPlusNormal"/>
        <w:jc w:val="right"/>
      </w:pPr>
      <w:r w:rsidRPr="00131BE0">
        <w:t>Р.Е.АРТЮХИН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Согласовано</w:t>
      </w:r>
    </w:p>
    <w:p w:rsidR="00131BE0" w:rsidRPr="00131BE0" w:rsidRDefault="00131BE0">
      <w:pPr>
        <w:pStyle w:val="ConsPlusNormal"/>
        <w:jc w:val="right"/>
      </w:pPr>
      <w:r w:rsidRPr="00131BE0">
        <w:t>Заместитель</w:t>
      </w:r>
    </w:p>
    <w:p w:rsidR="00131BE0" w:rsidRPr="00131BE0" w:rsidRDefault="00131BE0">
      <w:pPr>
        <w:pStyle w:val="ConsPlusNormal"/>
        <w:jc w:val="right"/>
      </w:pPr>
      <w:r w:rsidRPr="00131BE0">
        <w:t>Председателя Правительства</w:t>
      </w:r>
    </w:p>
    <w:p w:rsidR="00131BE0" w:rsidRPr="00131BE0" w:rsidRDefault="00131BE0">
      <w:pPr>
        <w:pStyle w:val="ConsPlusNormal"/>
        <w:jc w:val="right"/>
      </w:pPr>
      <w:r w:rsidRPr="00131BE0">
        <w:t>Российской Федерации -</w:t>
      </w:r>
    </w:p>
    <w:p w:rsidR="00131BE0" w:rsidRPr="00131BE0" w:rsidRDefault="00131BE0">
      <w:pPr>
        <w:pStyle w:val="ConsPlusNormal"/>
        <w:jc w:val="right"/>
      </w:pPr>
      <w:r w:rsidRPr="00131BE0">
        <w:t>Министр финансов</w:t>
      </w:r>
    </w:p>
    <w:p w:rsidR="00131BE0" w:rsidRPr="00131BE0" w:rsidRDefault="00131BE0">
      <w:pPr>
        <w:pStyle w:val="ConsPlusNormal"/>
        <w:jc w:val="right"/>
      </w:pPr>
      <w:r w:rsidRPr="00131BE0">
        <w:t>Российской Федерации</w:t>
      </w:r>
    </w:p>
    <w:p w:rsidR="00131BE0" w:rsidRPr="00131BE0" w:rsidRDefault="00131BE0">
      <w:pPr>
        <w:pStyle w:val="ConsPlusNormal"/>
        <w:jc w:val="right"/>
      </w:pPr>
      <w:r w:rsidRPr="00131BE0">
        <w:t>А.Л.КУДРИН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Приложение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Title"/>
        <w:jc w:val="center"/>
      </w:pPr>
      <w:bookmarkStart w:id="0" w:name="P40"/>
      <w:bookmarkEnd w:id="0"/>
      <w:r w:rsidRPr="00131BE0">
        <w:t>ПОРЯДОК</w:t>
      </w:r>
    </w:p>
    <w:p w:rsidR="00131BE0" w:rsidRPr="00131BE0" w:rsidRDefault="00131BE0">
      <w:pPr>
        <w:pStyle w:val="ConsPlusTitle"/>
        <w:jc w:val="center"/>
      </w:pPr>
      <w:r w:rsidRPr="00131BE0">
        <w:t>ОСУЩЕСТВЛЕНИЯ ТЕРРИТОРИАЛЬНЫМИ ОРГАНАМИ ФЕДЕРАЛЬНОГО</w:t>
      </w:r>
    </w:p>
    <w:p w:rsidR="00131BE0" w:rsidRPr="00131BE0" w:rsidRDefault="00131BE0">
      <w:pPr>
        <w:pStyle w:val="ConsPlusTitle"/>
        <w:jc w:val="center"/>
      </w:pPr>
      <w:r w:rsidRPr="00131BE0">
        <w:t>КАЗНАЧЕЙСТВА ОПЕРАЦИЙ СО СРЕДСТВАМИ ГОСУДАРСТВЕННОЙ</w:t>
      </w:r>
    </w:p>
    <w:p w:rsidR="00131BE0" w:rsidRPr="00131BE0" w:rsidRDefault="00131BE0">
      <w:pPr>
        <w:pStyle w:val="ConsPlusTitle"/>
        <w:jc w:val="center"/>
      </w:pPr>
      <w:r w:rsidRPr="00131BE0">
        <w:t>КОМПАНИИ "РОССИЙСКИЕ АВТОМОБИЛЬНЫЕ ДОРОГИ"</w:t>
      </w:r>
    </w:p>
    <w:p w:rsidR="00131BE0" w:rsidRPr="00131BE0" w:rsidRDefault="00131BE0">
      <w:pPr>
        <w:pStyle w:val="ConsPlusNormal"/>
        <w:jc w:val="center"/>
      </w:pPr>
      <w:r w:rsidRPr="00131BE0">
        <w:t>Список изменяющих документов</w:t>
      </w:r>
    </w:p>
    <w:p w:rsidR="00131BE0" w:rsidRPr="00131BE0" w:rsidRDefault="00131BE0">
      <w:pPr>
        <w:pStyle w:val="ConsPlusNormal"/>
        <w:jc w:val="center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jc w:val="center"/>
      </w:pPr>
    </w:p>
    <w:p w:rsidR="00131BE0" w:rsidRPr="00131BE0" w:rsidRDefault="00131BE0">
      <w:pPr>
        <w:pStyle w:val="ConsPlusNormal"/>
        <w:ind w:firstLine="540"/>
        <w:jc w:val="both"/>
      </w:pPr>
      <w:r w:rsidRPr="00131BE0">
        <w:t xml:space="preserve">1. Настоящий Порядок устанавливает порядок осуществления операций со средствами Государственной компании "Российские автомобильные дороги" (далее - Компания) от ее имени и по ее поручению в пределах остатка средств на лицевом счете, открытом ей территориальным </w:t>
      </w:r>
      <w:r w:rsidRPr="00131BE0">
        <w:lastRenderedPageBreak/>
        <w:t>органом Федерального казначейства (далее - орган Федерального казначейства).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2. При осуществлении операций со средствами Компании и созданными ей представительствами и филиалами (далее - обособленные подразделения), которым в установленном законодательством Российской Федерации случае открываются лицевые счета в органах Федерального казначейства (далее - клиенты), информационный обмен между клиентом и органом Федерального казначейства осуществляется в электронном виде с применением средств электронной подписи (далее - в электронном виде) в соответствии с законодательством Российской Федерации на основании Договора (соглашения) об обмене электронными документами, заключенного между клиентом и органом Федерального казначейства.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Если у клиента или органа Федерального казначейства отсутствует техническая возможность информационного обмена в электронном виде, обмен информацией между ними осуществляется в порядке применения документооборота на бумажных носителях с одновременным представлением документов на машинном носителе (далее - на бумажном носителе).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При осуществлении операций со средствами клиента документооборот, содержащий сведения, составляющие государственную тайну, осуществляется в соответствии с настоящим Порядком с соблюдением требований законодательства Российской Федерации о защите государственной тайны.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3. Орган Федерального казначейства для учета средств клиента открывает в установленном Центральным банком Российской Федерации порядке в учреждении Центрального банка Российской Федерации или кредитной организации (далее - в банках) счет на балансовом счете N 40501 "Счета организаций, находящихся в федеральной собственности. Финансовые организации" (далее - счет N 40501).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4. Для осуществления кассовых выплат клиент представляет в орган Федерального казначейства по месту обслуживания в электронном виде или на бумажном носителе платежные поручения, на основании которых осуществляются операции по списанию и зачислению средств в банке, оформленные в соответствии с Положением о правилах осуществления перевода денежных средств, утвержденным Центральным банком Российской Федерации от 19 июня 2012 г. N 383-П (зарегистрировано в Министерстве юстиции Российской Федерации 22 июня 2012 г., регистрационный номер 24667; Вестник Банка России, 2012, N 34), с учетом требований, установленных совместным Положением Центрального банка Российской Федерации и Министерства финансов Российской Федерации от 13 декабря 2006 г. N 298-П/173н "Об особенностях расчетно-кассового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образований)" (зарегистрировано в Министерстве юстиции Российской Федерации 26 января 2007 г., регистрационный номер 8853; Бюллетень нормативных актов федеральных органов исполнительной власти, 2007, N 8) &lt;1&gt;, с установленными Министерством финансов Российской Федерации особенностями осуществления операций по лицевому счету, открытому Государственной компании "Российские автомобильные дороги" в Федеральном казначействе (далее - Особенности), и требованиями, установленными настоящим Порядком (далее - расчетные документы).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--------------------------------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&lt;1&gt; С учетом изменений, внесенных совместными Указаниями Центрального банка Российской Федерации и Министерства финансов Российской Федерации от 27 мая 2010 г. N 2449-У/53н (зарегистрировано в Министерстве юстиции Российской Федерации 15 июля 2010 г., регистрационный номер 17844; Вестник Банка России, 2010, N 42), от 27 сентября 2012 г. N 2885-У/128н (зарегистрировано в Министерстве юстиции Российской Федерации 20 ноября 2012 г., регистрационный номер 25855; Вестник Банка России, 2012, N 67).</w:t>
      </w:r>
    </w:p>
    <w:p w:rsidR="00131BE0" w:rsidRPr="00131BE0" w:rsidRDefault="00131BE0">
      <w:pPr>
        <w:pStyle w:val="ConsPlusNormal"/>
        <w:jc w:val="both"/>
      </w:pPr>
      <w:r w:rsidRPr="00131BE0">
        <w:t>(сноска введена Приказом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  <w:r w:rsidRPr="00131BE0">
        <w:t>При этом в расчетном документе: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поле "ИНН" плательщика указывается идентификационный номер налогоплательщика-клиента;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lastRenderedPageBreak/>
        <w:t>в поле "КПП" плательщика указывается код причины постановки клиента на налоговый учет;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поле "Плательщик" указываются сокращенное наименование органа Федерального казначейства, в скобках - полное или сокращенное наименование клиента.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Наименование клиента должно соответствовать полному или сокращенному наименованию клиента, указанному в Карточке образцов подписей, представленной клиентом в орган Федерального казначейства.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5. Орган Федерального казначейства отказывает клиенту в приеме расчетного документа в случае: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если указанный в расчетном документе код классификации операций сектора государственного управления по бюджетной классификации Российской Федерации (КОСГУ) является недействующим в текущем финансовом году на момент представления расчетного документа;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нарушения требований оформления расчетного документа;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нарушения требований Особенностей.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6. В случае, если форма или содержание расчетного документа не соответствуют установленным требованиям или подписи ответственных лиц будут признаны не соответствующими образцам, имеющимся в Карточке образцов подписей, орган Федерального казначейства регистрирует представленный расчетный документ в Журнале регистрации неисполненных документов (код формы по КФД 0531804) и не позднее рабочего дня, следующего за днем его представления клиентом: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при информационном обмене между органом Федерального казначейства и клиентом на бумажных носителях возвращает клиенту расчетный документ со штампом "Отклонено" с приложением Протокола (код формы по КФД 0531805) (далее - Протокол), в котором указывается причина возврата;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при информационном обмене между органом Федерального казначейства и клиентом в электронном виде направляет клиенту Протокол в электронном виде, в котором указывается причина возврата.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7. Если представленный клиентом расчетный документ соответствует требованиям, установленным настоящим Порядком, орган Федерального казначейства осуществляет перечисление средств со счета N 40501.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8. Для получения наличных денег клиент представляет в орган Федерального казначейства по месту обслуживания Заявку на получение наличных денег (код формы по КФД 0531802) (далее - Заявка (код формы по КФД 0531802)) или Заявку на получение денежных средств, перечисляемых на карту (код формы по КФД 0531844) (далее - Заявка (код формы по КФД 0531844)).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Заявка (код формы по КФД 0531802) оформляется в порядке, установленном Порядком кассового обслуживания исполнения федерального бюджета, бюджетов субъектов Российской Федерации и местных бюджетов и порядком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бюджетов, утвержденным приказом Федерального казначейства от 10 октября 2008 г. N 8н (зарегистрирован в Министерстве юстиции Российской Федерации 12 ноября 2008 г., регистрационный номер 12617; Бюллетень нормативных актов федеральных органов исполнительной власти, 2008, N 51) &lt;1&gt;, с учетом особенностей: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--------------------------------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&lt;1&gt; С учетом изменений, внесенных приказами Федерального казначейства от 30 июля 2009 г. N 5н (зарегистрирован в Министерстве юстиции Российской Федерации 4 сентября 2009 г., регистрационный номер 14714; Российская газета, 2009, 15 сентября), от 25 декабря 2009 г. N 15н (зарегистрирован в Министерстве юстиции Российской Федерации 29 марта 2010 г., регистрационный номер 16751; Российская газета, 2010, 7 апреля), от 29 октября 2010 г. N 13н (зарегистрирован в Министерстве юстиции Российской Федерации 25 ноября 2010 г., регистрационный номер 19047; Российская газета, 2010, 3 декабря), от 27 декабря 2011 г. N 19н (зарегистрирован в Министерстве юстиции Российской Федерации 3 февраля 2012 г., регистрационный номер 23129; Российская газета, 2012, 15 февраля).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  <w:r w:rsidRPr="00131BE0">
        <w:lastRenderedPageBreak/>
        <w:t>в заголовочной части Заявки (код формы по КФД 0531802) реквизиты "Главный распорядитель бюджетных средств", "Наименование бюджета", "Финансовый орган" не заполняются;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кодовой зоне Заявки (код формы по КФД 0531802) коды "по Сводному реестру", "Глава по БК", "Предельная дата исполнения" и "Учетный номер обязательства" не проставляются;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наименование клиента в заголовочной части Заявки (код формы по КФД 0531802) должно соответствовать полному или сокращенному наименованию клиента, указанному в Карточке образцов подписей, представленной клиентом в орган Федерального казначейства;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номер лицевого счета, указанный в кодовой зоне Заявки (код формы по КФД 0531802), должен соответствовать номеру лицевого счета по учету средств юридических лиц (их обособленных подразделений), не являющихся в соответствии с Бюджетным кодексом Российской Федерации получателями средств федерального бюджета, открытого клиенту в органе Федерального казначейства (далее - лицевой счет клиента).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При заполнении Раздела 2 Заявки (код формы по КФД 0531802):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графе 2 указывается вид средств "средства юридических лиц";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графе 3 указывается двадцатизначный код операции, содержащий в 1 - 17 разрядах нули, в 18 - 20 разрядах код по КОСГУ (далее - код классификации операции);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графе 6 в скобках указывается аналитический код, идентифицирующий операцию в соответствии с Особенностями (далее - код цели).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Заявка (код формы по КФД 0531844) оформляется в порядке, установленном Правилами обеспечения наличными деньгами организаций, лицевые счета которым открыты в территориальных органах Федерального казначейства, утвержденными приказом Министерства финансов Российской Федерации от 31 декабря 2010 г. N 199н (зарегистрирован в Министерстве юстиции Российской Федерации 5 апреля 2011 г., регистрационный номер 20409; Российская газета, 2011, 6 мая) &lt;1&gt;, с учетом особенностей: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--------------------------------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&lt;1&gt; С учетом изменений, внесенных приказом Министерства финансов Российской Федерации от 28 декабря 2012 г. N 177н (зарегистрирован в Министерстве юстиции Российской Федерации 22 февраля 2013 г., регистрационный номер 27273; Российская газета, 2013, 15 марта).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  <w:r w:rsidRPr="00131BE0">
        <w:t>наименование клиента в заголовочной части Заявки (код формы по КФД 0531844) должно соответствовать полному или сокращенному наименованию клиента, указанному в Карточке образцов подписей, представленной клиентом в орган Федерального казначейства;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 кодовой зоне Заявки (код формы по КФД 0531844) коды "по Сводному реестру" и "Учетный номер обязательства" не проставляются;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номер лицевого счета, указанный в кодовой зоне Заявки (код формы по КФД 0531844), должен соответствовать номеру лицевого счета клиента.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Табличная часть Заявки (код формы по КФД 0531844) оформляется в порядке, аналогичном порядку оформления раздела 2 Заявки (код формы по КФД 0531802).</w:t>
      </w:r>
    </w:p>
    <w:p w:rsidR="00131BE0" w:rsidRPr="00131BE0" w:rsidRDefault="00131BE0">
      <w:pPr>
        <w:pStyle w:val="ConsPlusNormal"/>
        <w:jc w:val="both"/>
      </w:pPr>
      <w:r w:rsidRPr="00131BE0">
        <w:t>(п. 8 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9. Орган Федерального казначейства принимает Заявку (код формы по КФД 0531802) или Заявку (код формы по КФД (0531844) (далее - Заявка) к исполнению в случае выполнения следующих условий: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Заявка соответствует требованиям, установленным настоящим Порядком и Особенностями;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указанные в Заявке коды КОСГУ являются действующими в текущем финансовом году на момент представления Заявки;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суммы, указанные в Заявке, не превышают остаток на лицевом счете клиента по коду цели, соответствующему коду цели, указанному клиентом в графе 6 Заявки.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10. Оформление клиентом Объявления на взнос наличными (код формы по ОКУД 0402001) осуществляется с учетом следующих особенностей: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- в поле "Получатель" указывается сокращенное наименование органа Федерального казначейства, в скобках проставляются полное или сокращенное наименование клиента, вносящего наличные деньги, а также номер соответствующего лицевого счета клиента;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lastRenderedPageBreak/>
        <w:t>- в поле "Источник поступления" клиент указывает источники поступлений наличных денег в кассу учреждения банка в соответствии с символами отчетности по форме документа "Отчет о наличном денежном обороте" (код формы по ОКУД 0409202), предусмотренной нормативными актами Банка России, код классификации операции и код цели, по которым вносимые средства подлежат отражению на лицевом счете клиента.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 xml:space="preserve">11. Орган Федерального казначейства в день поступления выписки банка со счета N 40501 учитывает операции со средствами клиента на лицевом счете клиента и направляет клиенту Выписку из лицевого счета для учета операций </w:t>
      </w:r>
      <w:proofErr w:type="spellStart"/>
      <w:r w:rsidRPr="00131BE0">
        <w:t>неучастника</w:t>
      </w:r>
      <w:proofErr w:type="spellEnd"/>
      <w:r w:rsidRPr="00131BE0">
        <w:t xml:space="preserve"> бюджетного процесса (код формы по КФД 0531834) с приложением документов, на основании которых были отражены кассовые операции на лицевом счете клиента.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12. Суммы, зачисленные на счет N 40501 по расчетным документам, в которых отсутствует информация, позволяющая определить принадлежность поступивших сумм (далее - невыясненные поступления), учитываются в составе общего остатка на счете N 40501.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Для уточнения невыясненных поступлений клиент представляет в орган Федерального казначейства Уведомление об уточнении операций клиента по форме согласно приложению N 1 к настоящему Порядку (код формы по КФД 0531852) (далее - Уведомление), которое является основанием для проведения органом Федерального казначейства операции без списания-зачисления средств на счете N 40501 и для отражения результатов уточнения невыясненных поступлений на лицевом счете клиента.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Абзац исключен с 1 января 2014 года. - Приказ Казначейства России от 24.06.2013 N 9н.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Невыясненные поступления подлежат уточнению клиентом в течение 10 рабочих дней со дня их поступления на счет N 40501. В случае, если в течение 10 рабочих дней клиент не представил в орган Федерального казначейства Уведомление, орган Федерального казначейства на основании оформленного им расчетного документа возвращает указанные средства со счета N 40501 плательщику.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13. Суммы поступлений на счет N 40501, отнесенные к невыясненным поступлениям, результаты выяснения (уточнения) их принадлежности, а также операции по возврату невыясненных поступлений плательщику отражаются органом Федерального казначейства в Ведомости учета невыясненных поступлений по счету по форме согласно приложению N 2 к настоящему Порядку (код формы по КФД 0531853) на основании расчетных документов, Уведомлений.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Ведомость учета невыясненных поступлений по счету ведется с начала финансового года и формируется за определенный период.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Операции по уточнению клиентом сумм невыясненных поступлений отражаются в Ведомости учета невыясненных поступлений по счету со знаком "минус" с одновременным отражением со знаком "</w:t>
      </w:r>
      <w:bookmarkStart w:id="1" w:name="_GoBack"/>
      <w:r w:rsidRPr="00131BE0">
        <w:t>плюс</w:t>
      </w:r>
      <w:bookmarkEnd w:id="1"/>
      <w:r w:rsidRPr="00131BE0">
        <w:t>" по соответствующему уточненному коду классификации операции и (или) коду цели.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14. Клиент вправе уточнить кассовые операции в части кодов классификации операций и (или) кодов цели, по которым данные операции были отражены на лицевом счете клиента.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Для уточнения указанных кодов классификации операций и (или) кодов цели клиент представляет в орган Федерального казначейства Уведомление, в котором графы 2, 3, 4, 5, 6, 7, 11 и 12 раздела 1 "Уточняемые реквизиты" и графы 2, 3, 4, 8 и 9 раздела 2 "Уточненные реквизиты" не заполняются.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Представленное Уведомление является основанием для проведения органом Федерального казначейства уточняющей операции без списания-зачисления средств на счете N 40501 и для отражения ее на лицевом счете клиента.</w:t>
      </w:r>
    </w:p>
    <w:p w:rsidR="00131BE0" w:rsidRPr="00131BE0" w:rsidRDefault="00131BE0">
      <w:pPr>
        <w:pStyle w:val="ConsPlusNormal"/>
        <w:jc w:val="both"/>
      </w:pPr>
      <w:r w:rsidRPr="00131BE0">
        <w:t>(в ред. Приказа Казначейства России от 24.06.2013 N 9н)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15. Представленные клиентом в орган Федерального казначейства расчетные документы, Заявки и Уведомления, соответствующие требованиям настоящего Порядка, исполняются не позднее второго рабочего дня, следующего за днем их представления в орган Федерального казначейства.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lastRenderedPageBreak/>
        <w:t>16. Прием расчетных документов, Заявок и Уведомлений, поступивших в орган Федерального казначейства на бумажном носителе, производится в день их поступления в орган Федерального казначейства в течение первой половины операционного дня. Начало и окончание операционного дня, в том числе время приема расчетных документов, Заявок и Уведомлений от клиента, представленных на бумажном носителе, устанавливаются органом Федерального казначейства с учетом положений договора (соглашения) об обмене электронными документами, заключенного между банком и органом Федерального казначейства.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Прием расчетных документов, Заявок и Уведомлений, поступивших в орган Федерального казначейства на бумажном носителе, производится уполномоченным работником органа Федерального казначейства.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На всех расчетных документах, Заявках и Уведомлениях, поступивших в орган Федерального казначейства на бумажном носителе, в обязательном порядке ставятся отметки органа Федерального казначейства с указанием даты принятия и даты исполнения.</w:t>
      </w:r>
    </w:p>
    <w:p w:rsidR="00131BE0" w:rsidRPr="00131BE0" w:rsidRDefault="00131BE0">
      <w:pPr>
        <w:pStyle w:val="ConsPlusNormal"/>
        <w:ind w:firstLine="540"/>
        <w:jc w:val="both"/>
      </w:pPr>
      <w:r w:rsidRPr="00131BE0">
        <w:t>17. Ежемесячно на отчетную дату органы Федерального казначейства, в которых обособленным подразделениям Компании открыты лицевые счета клиентов, формируют и направляют для свода в орган Федерального казначейства, в котором открыт лицевой счет Компании, Сводные сведения по лицевым счетам клиентов согласно приложению N 3 к настоящему Порядку (код по КФД 0531854).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Приложение N 1</w:t>
      </w:r>
    </w:p>
    <w:p w:rsidR="00131BE0" w:rsidRPr="00131BE0" w:rsidRDefault="00131BE0">
      <w:pPr>
        <w:pStyle w:val="ConsPlusNormal"/>
        <w:jc w:val="right"/>
      </w:pPr>
      <w:r w:rsidRPr="00131BE0">
        <w:t>к Порядку осуществления</w:t>
      </w:r>
    </w:p>
    <w:p w:rsidR="00131BE0" w:rsidRPr="00131BE0" w:rsidRDefault="00131BE0">
      <w:pPr>
        <w:pStyle w:val="ConsPlusNormal"/>
        <w:jc w:val="right"/>
      </w:pPr>
      <w:r w:rsidRPr="00131BE0">
        <w:t>территориальными органами</w:t>
      </w:r>
    </w:p>
    <w:p w:rsidR="00131BE0" w:rsidRPr="00131BE0" w:rsidRDefault="00131BE0">
      <w:pPr>
        <w:pStyle w:val="ConsPlusNormal"/>
        <w:jc w:val="right"/>
      </w:pPr>
      <w:r w:rsidRPr="00131BE0">
        <w:t>Федерального казначейства</w:t>
      </w:r>
    </w:p>
    <w:p w:rsidR="00131BE0" w:rsidRPr="00131BE0" w:rsidRDefault="00131BE0">
      <w:pPr>
        <w:pStyle w:val="ConsPlusNormal"/>
        <w:jc w:val="right"/>
      </w:pPr>
      <w:r w:rsidRPr="00131BE0">
        <w:t>операций со средствами</w:t>
      </w:r>
    </w:p>
    <w:p w:rsidR="00131BE0" w:rsidRPr="00131BE0" w:rsidRDefault="00131BE0">
      <w:pPr>
        <w:pStyle w:val="ConsPlusNormal"/>
        <w:jc w:val="right"/>
      </w:pPr>
      <w:r w:rsidRPr="00131BE0">
        <w:t>Государственной компании</w:t>
      </w:r>
    </w:p>
    <w:p w:rsidR="00131BE0" w:rsidRPr="00131BE0" w:rsidRDefault="00131BE0">
      <w:pPr>
        <w:pStyle w:val="ConsPlusNormal"/>
        <w:jc w:val="right"/>
      </w:pPr>
      <w:r w:rsidRPr="00131BE0">
        <w:t>"Российские автомобильные дороги"</w:t>
      </w:r>
    </w:p>
    <w:p w:rsidR="00131BE0" w:rsidRPr="00131BE0" w:rsidRDefault="00131BE0">
      <w:pPr>
        <w:pStyle w:val="ConsPlusNormal"/>
        <w:jc w:val="right"/>
      </w:pPr>
      <w:r w:rsidRPr="00131BE0">
        <w:t>от 15 декабря 2009 г. N 13н</w:t>
      </w:r>
    </w:p>
    <w:p w:rsidR="00131BE0" w:rsidRPr="00131BE0" w:rsidRDefault="00131BE0">
      <w:pPr>
        <w:sectPr w:rsidR="00131BE0" w:rsidRPr="00131BE0" w:rsidSect="00AB09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bookmarkStart w:id="2" w:name="P137"/>
      <w:bookmarkEnd w:id="2"/>
      <w:r w:rsidRPr="00131BE0">
        <w:t xml:space="preserve">          Уведомление об уточнении операций клиента N ________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┌───────┐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│ </w:t>
      </w:r>
      <w:proofErr w:type="gramStart"/>
      <w:r w:rsidRPr="00131BE0">
        <w:t>Коды  │</w:t>
      </w:r>
      <w:proofErr w:type="gramEnd"/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Форма по КФД │0531852│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от "__" ___________ 20__ г.             Дата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>Клиент _____________________________________              по ОКПО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Номер лицевого счета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>Орган Федерального казначейства ____________              по КОФК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Единица измерения: руб.                                   по ОКЕИ </w:t>
      </w:r>
      <w:proofErr w:type="gramStart"/>
      <w:r w:rsidRPr="00131BE0">
        <w:t>│  383</w:t>
      </w:r>
      <w:proofErr w:type="gramEnd"/>
      <w:r w:rsidRPr="00131BE0">
        <w:t xml:space="preserve">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└───────┘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bookmarkStart w:id="3" w:name="P157"/>
      <w:bookmarkEnd w:id="3"/>
      <w:r w:rsidRPr="00131BE0">
        <w:t xml:space="preserve">                            1. Уточняемые реквизиты</w:t>
      </w:r>
    </w:p>
    <w:p w:rsidR="00131BE0" w:rsidRPr="00131BE0" w:rsidRDefault="00131BE0">
      <w:pPr>
        <w:pStyle w:val="ConsPlusNormal"/>
        <w:jc w:val="both"/>
      </w:pPr>
    </w:p>
    <w:tbl>
      <w:tblPr>
        <w:tblW w:w="0" w:type="auto"/>
        <w:tblInd w:w="-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1200"/>
        <w:gridCol w:w="840"/>
        <w:gridCol w:w="720"/>
        <w:gridCol w:w="1680"/>
        <w:gridCol w:w="960"/>
        <w:gridCol w:w="1080"/>
        <w:gridCol w:w="1800"/>
        <w:gridCol w:w="840"/>
        <w:gridCol w:w="840"/>
        <w:gridCol w:w="1440"/>
        <w:gridCol w:w="1560"/>
      </w:tblGrid>
      <w:tr w:rsidR="00131BE0" w:rsidRPr="00131BE0">
        <w:trPr>
          <w:trHeight w:val="240"/>
        </w:trPr>
        <w:tc>
          <w:tcPr>
            <w:tcW w:w="600" w:type="dxa"/>
            <w:vMerge w:val="restart"/>
            <w:tcBorders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  <w:p w:rsidR="00131BE0" w:rsidRPr="00131BE0" w:rsidRDefault="00131BE0">
            <w:pPr>
              <w:pStyle w:val="ConsPlusNonformat"/>
              <w:jc w:val="both"/>
            </w:pP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N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п/п </w:t>
            </w:r>
          </w:p>
        </w:tc>
        <w:tc>
          <w:tcPr>
            <w:tcW w:w="2760" w:type="dxa"/>
            <w:gridSpan w:val="3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Документ      </w:t>
            </w:r>
          </w:p>
        </w:tc>
        <w:tc>
          <w:tcPr>
            <w:tcW w:w="3720" w:type="dxa"/>
            <w:gridSpan w:val="3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 Получатель         </w:t>
            </w:r>
          </w:p>
        </w:tc>
        <w:tc>
          <w:tcPr>
            <w:tcW w:w="180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Код   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>классификации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операции  </w:t>
            </w:r>
          </w:p>
        </w:tc>
        <w:tc>
          <w:tcPr>
            <w:tcW w:w="84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Код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цели </w:t>
            </w:r>
          </w:p>
        </w:tc>
        <w:tc>
          <w:tcPr>
            <w:tcW w:w="84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Сумма</w:t>
            </w:r>
          </w:p>
        </w:tc>
        <w:tc>
          <w:tcPr>
            <w:tcW w:w="144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Назначение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платежа  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Примечание</w:t>
            </w:r>
          </w:p>
        </w:tc>
      </w:tr>
      <w:tr w:rsidR="00131BE0" w:rsidRPr="00131BE0">
        <w:tc>
          <w:tcPr>
            <w:tcW w:w="480" w:type="dxa"/>
            <w:vMerge/>
            <w:tcBorders>
              <w:top w:val="nil"/>
              <w:left w:val="nil"/>
            </w:tcBorders>
          </w:tcPr>
          <w:p w:rsidR="00131BE0" w:rsidRPr="00131BE0" w:rsidRDefault="00131BE0"/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proofErr w:type="spellStart"/>
            <w:r w:rsidRPr="00131BE0">
              <w:t>наимено</w:t>
            </w:r>
            <w:proofErr w:type="spellEnd"/>
            <w:r w:rsidRPr="00131BE0">
              <w:t>-</w:t>
            </w:r>
          </w:p>
          <w:p w:rsidR="00131BE0" w:rsidRPr="00131BE0" w:rsidRDefault="00131BE0">
            <w:pPr>
              <w:pStyle w:val="ConsPlusNonformat"/>
              <w:jc w:val="both"/>
            </w:pPr>
            <w:proofErr w:type="spellStart"/>
            <w:r w:rsidRPr="00131BE0">
              <w:t>вание</w:t>
            </w:r>
            <w:proofErr w:type="spellEnd"/>
            <w:r w:rsidRPr="00131BE0">
              <w:t xml:space="preserve"> 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номер</w:t>
            </w: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дата</w:t>
            </w: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наименование</w:t>
            </w:r>
          </w:p>
        </w:tc>
        <w:tc>
          <w:tcPr>
            <w:tcW w:w="9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ИНН 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КПП  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72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72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32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440" w:type="dxa"/>
            <w:vMerge/>
            <w:tcBorders>
              <w:top w:val="nil"/>
              <w:left w:val="nil"/>
              <w:right w:val="nil"/>
            </w:tcBorders>
          </w:tcPr>
          <w:p w:rsidR="00131BE0" w:rsidRPr="00131BE0" w:rsidRDefault="00131BE0"/>
        </w:tc>
      </w:tr>
      <w:tr w:rsidR="00131BE0" w:rsidRPr="00131BE0">
        <w:trPr>
          <w:trHeight w:val="240"/>
        </w:trPr>
        <w:tc>
          <w:tcPr>
            <w:tcW w:w="60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1  </w:t>
            </w: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2  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3  </w:t>
            </w: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4  </w:t>
            </w: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5      </w:t>
            </w:r>
          </w:p>
        </w:tc>
        <w:tc>
          <w:tcPr>
            <w:tcW w:w="9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6  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7   </w:t>
            </w: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8    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9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10 </w:t>
            </w:r>
          </w:p>
        </w:tc>
        <w:tc>
          <w:tcPr>
            <w:tcW w:w="14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11    </w:t>
            </w:r>
          </w:p>
        </w:tc>
        <w:tc>
          <w:tcPr>
            <w:tcW w:w="960" w:type="dxa"/>
            <w:tcBorders>
              <w:top w:val="nil"/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12</w:t>
            </w:r>
          </w:p>
        </w:tc>
      </w:tr>
      <w:tr w:rsidR="00131BE0" w:rsidRPr="00131BE0">
        <w:trPr>
          <w:trHeight w:val="240"/>
        </w:trPr>
        <w:tc>
          <w:tcPr>
            <w:tcW w:w="60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60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</w:tbl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bookmarkStart w:id="4" w:name="P172"/>
      <w:bookmarkEnd w:id="4"/>
      <w:r w:rsidRPr="00131BE0">
        <w:t xml:space="preserve">                           2. Уточненные реквизиты</w:t>
      </w:r>
    </w:p>
    <w:p w:rsidR="00131BE0" w:rsidRPr="00131BE0" w:rsidRDefault="00131BE0">
      <w:pPr>
        <w:pStyle w:val="ConsPlusNormal"/>
        <w:jc w:val="both"/>
      </w:pPr>
    </w:p>
    <w:tbl>
      <w:tblPr>
        <w:tblW w:w="0" w:type="auto"/>
        <w:tblInd w:w="-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540"/>
        <w:gridCol w:w="540"/>
        <w:gridCol w:w="1620"/>
        <w:gridCol w:w="648"/>
        <w:gridCol w:w="972"/>
        <w:gridCol w:w="1296"/>
        <w:gridCol w:w="1404"/>
      </w:tblGrid>
      <w:tr w:rsidR="00131BE0" w:rsidRPr="00131BE0">
        <w:trPr>
          <w:trHeight w:val="240"/>
        </w:trPr>
        <w:tc>
          <w:tcPr>
            <w:tcW w:w="540" w:type="dxa"/>
            <w:vMerge w:val="restart"/>
            <w:tcBorders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  <w:p w:rsidR="00131BE0" w:rsidRPr="00131BE0" w:rsidRDefault="00131BE0">
            <w:pPr>
              <w:pStyle w:val="ConsPlusNonformat"/>
              <w:jc w:val="both"/>
            </w:pP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N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lastRenderedPageBreak/>
              <w:t xml:space="preserve">п/п </w:t>
            </w:r>
          </w:p>
        </w:tc>
        <w:tc>
          <w:tcPr>
            <w:tcW w:w="2592" w:type="dxa"/>
            <w:gridSpan w:val="3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lastRenderedPageBreak/>
              <w:t xml:space="preserve">     Получатель     </w:t>
            </w:r>
          </w:p>
        </w:tc>
        <w:tc>
          <w:tcPr>
            <w:tcW w:w="162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  Код   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классификации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операции  </w:t>
            </w:r>
          </w:p>
        </w:tc>
        <w:tc>
          <w:tcPr>
            <w:tcW w:w="648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Код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цели</w:t>
            </w:r>
          </w:p>
        </w:tc>
        <w:tc>
          <w:tcPr>
            <w:tcW w:w="972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Сумма </w:t>
            </w:r>
          </w:p>
        </w:tc>
        <w:tc>
          <w:tcPr>
            <w:tcW w:w="1296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Назначение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платежа  </w:t>
            </w:r>
          </w:p>
        </w:tc>
        <w:tc>
          <w:tcPr>
            <w:tcW w:w="1404" w:type="dxa"/>
            <w:vMerge w:val="restart"/>
            <w:tcBorders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Примечание</w:t>
            </w:r>
          </w:p>
        </w:tc>
      </w:tr>
      <w:tr w:rsidR="00131BE0" w:rsidRPr="00131BE0">
        <w:tc>
          <w:tcPr>
            <w:tcW w:w="432" w:type="dxa"/>
            <w:vMerge/>
            <w:tcBorders>
              <w:top w:val="nil"/>
              <w:left w:val="nil"/>
            </w:tcBorders>
          </w:tcPr>
          <w:p w:rsidR="00131BE0" w:rsidRPr="00131BE0" w:rsidRDefault="00131BE0"/>
        </w:tc>
        <w:tc>
          <w:tcPr>
            <w:tcW w:w="151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наименование</w:t>
            </w: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ИНН</w:t>
            </w: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>КПП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54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864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188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296" w:type="dxa"/>
            <w:vMerge/>
            <w:tcBorders>
              <w:top w:val="nil"/>
              <w:left w:val="nil"/>
              <w:right w:val="nil"/>
            </w:tcBorders>
          </w:tcPr>
          <w:p w:rsidR="00131BE0" w:rsidRPr="00131BE0" w:rsidRDefault="00131BE0"/>
        </w:tc>
      </w:tr>
      <w:tr w:rsidR="00131BE0" w:rsidRPr="00131BE0">
        <w:trPr>
          <w:trHeight w:val="240"/>
        </w:trPr>
        <w:tc>
          <w:tcPr>
            <w:tcW w:w="54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lastRenderedPageBreak/>
              <w:t xml:space="preserve"> 1  </w:t>
            </w:r>
          </w:p>
        </w:tc>
        <w:tc>
          <w:tcPr>
            <w:tcW w:w="151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  2      </w:t>
            </w: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3 </w:t>
            </w: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4 </w:t>
            </w:r>
          </w:p>
        </w:tc>
        <w:tc>
          <w:tcPr>
            <w:tcW w:w="16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   5      </w:t>
            </w:r>
          </w:p>
        </w:tc>
        <w:tc>
          <w:tcPr>
            <w:tcW w:w="648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6 </w:t>
            </w:r>
          </w:p>
        </w:tc>
        <w:tc>
          <w:tcPr>
            <w:tcW w:w="97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7   </w:t>
            </w:r>
          </w:p>
        </w:tc>
        <w:tc>
          <w:tcPr>
            <w:tcW w:w="1296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 8     </w:t>
            </w:r>
          </w:p>
        </w:tc>
        <w:tc>
          <w:tcPr>
            <w:tcW w:w="864" w:type="dxa"/>
            <w:tcBorders>
              <w:top w:val="nil"/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rPr>
                <w:sz w:val="18"/>
              </w:rPr>
              <w:t xml:space="preserve">     9</w:t>
            </w:r>
          </w:p>
        </w:tc>
      </w:tr>
      <w:tr w:rsidR="00131BE0" w:rsidRPr="00131BE0">
        <w:trPr>
          <w:trHeight w:val="240"/>
        </w:trPr>
        <w:tc>
          <w:tcPr>
            <w:tcW w:w="54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51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97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54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51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5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972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96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</w:tbl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Руководитель              __________________     __________________________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(уполномоченное </w:t>
      </w:r>
      <w:proofErr w:type="gramStart"/>
      <w:r w:rsidRPr="00131BE0">
        <w:t xml:space="preserve">лицо)   </w:t>
      </w:r>
      <w:proofErr w:type="gramEnd"/>
      <w:r w:rsidRPr="00131BE0">
        <w:t xml:space="preserve">      (подпись)            (расшифровка подписи)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Ответственный</w:t>
      </w:r>
    </w:p>
    <w:p w:rsidR="00131BE0" w:rsidRPr="00131BE0" w:rsidRDefault="00131BE0">
      <w:pPr>
        <w:pStyle w:val="ConsPlusNonformat"/>
        <w:jc w:val="both"/>
      </w:pPr>
      <w:r w:rsidRPr="00131BE0">
        <w:t>исполнитель    _____________ ___________ _______________________ 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(</w:t>
      </w:r>
      <w:proofErr w:type="gramStart"/>
      <w:r w:rsidRPr="00131BE0">
        <w:t xml:space="preserve">должность)   </w:t>
      </w:r>
      <w:proofErr w:type="gramEnd"/>
      <w:r w:rsidRPr="00131BE0">
        <w:t>(подпись)   (расшифровка подписи)  (телефон)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Номер страницы ______</w:t>
      </w:r>
    </w:p>
    <w:p w:rsidR="00131BE0" w:rsidRPr="00131BE0" w:rsidRDefault="00131BE0">
      <w:pPr>
        <w:pStyle w:val="ConsPlusNonformat"/>
        <w:jc w:val="both"/>
      </w:pPr>
      <w:r w:rsidRPr="00131BE0">
        <w:t>"__" ___________ 20__ г.                               Всего страниц ______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---------------------------------------------------------------------------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Отметки органа Федерального казначейства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Приложение N 2</w:t>
      </w:r>
    </w:p>
    <w:p w:rsidR="00131BE0" w:rsidRPr="00131BE0" w:rsidRDefault="00131BE0">
      <w:pPr>
        <w:pStyle w:val="ConsPlusNormal"/>
        <w:jc w:val="right"/>
      </w:pPr>
      <w:r w:rsidRPr="00131BE0">
        <w:t>к Порядку осуществления</w:t>
      </w:r>
    </w:p>
    <w:p w:rsidR="00131BE0" w:rsidRPr="00131BE0" w:rsidRDefault="00131BE0">
      <w:pPr>
        <w:pStyle w:val="ConsPlusNormal"/>
        <w:jc w:val="right"/>
      </w:pPr>
      <w:r w:rsidRPr="00131BE0">
        <w:t>территориальными органами</w:t>
      </w:r>
    </w:p>
    <w:p w:rsidR="00131BE0" w:rsidRPr="00131BE0" w:rsidRDefault="00131BE0">
      <w:pPr>
        <w:pStyle w:val="ConsPlusNormal"/>
        <w:jc w:val="right"/>
      </w:pPr>
      <w:r w:rsidRPr="00131BE0">
        <w:t>Федерального казначейства</w:t>
      </w:r>
    </w:p>
    <w:p w:rsidR="00131BE0" w:rsidRPr="00131BE0" w:rsidRDefault="00131BE0">
      <w:pPr>
        <w:pStyle w:val="ConsPlusNormal"/>
        <w:jc w:val="right"/>
      </w:pPr>
      <w:r w:rsidRPr="00131BE0">
        <w:t>операций со средствами</w:t>
      </w:r>
    </w:p>
    <w:p w:rsidR="00131BE0" w:rsidRPr="00131BE0" w:rsidRDefault="00131BE0">
      <w:pPr>
        <w:pStyle w:val="ConsPlusNormal"/>
        <w:jc w:val="right"/>
      </w:pPr>
      <w:r w:rsidRPr="00131BE0">
        <w:t>Государственной компании</w:t>
      </w:r>
    </w:p>
    <w:p w:rsidR="00131BE0" w:rsidRPr="00131BE0" w:rsidRDefault="00131BE0">
      <w:pPr>
        <w:pStyle w:val="ConsPlusNormal"/>
        <w:jc w:val="right"/>
      </w:pPr>
      <w:r w:rsidRPr="00131BE0">
        <w:t>"Российские автомобильные дороги"</w:t>
      </w:r>
    </w:p>
    <w:p w:rsidR="00131BE0" w:rsidRPr="00131BE0" w:rsidRDefault="00131BE0">
      <w:pPr>
        <w:pStyle w:val="ConsPlusNormal"/>
        <w:jc w:val="right"/>
      </w:pPr>
      <w:r w:rsidRPr="00131BE0">
        <w:t>от 15 декабря 2009 г. N 13н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┌─────────┐</w:t>
      </w:r>
    </w:p>
    <w:p w:rsidR="00131BE0" w:rsidRPr="00131BE0" w:rsidRDefault="00131BE0">
      <w:pPr>
        <w:pStyle w:val="ConsPlusNonformat"/>
        <w:jc w:val="both"/>
      </w:pPr>
      <w:bookmarkStart w:id="5" w:name="P215"/>
      <w:bookmarkEnd w:id="5"/>
      <w:r w:rsidRPr="00131BE0">
        <w:t xml:space="preserve">      Ведомость учета невыясненных поступлений по счету N │  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└─────────┘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┌───────┐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│ </w:t>
      </w:r>
      <w:proofErr w:type="gramStart"/>
      <w:r w:rsidRPr="00131BE0">
        <w:t>Коды  │</w:t>
      </w:r>
      <w:proofErr w:type="gramEnd"/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Форма по КФД │0531853│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с "__" ________ по "__" ________ ____ г. Дата начала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периода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>Наименование органа Федерального                   Дата окончания │       │</w:t>
      </w:r>
    </w:p>
    <w:p w:rsidR="00131BE0" w:rsidRPr="00131BE0" w:rsidRDefault="00131BE0">
      <w:pPr>
        <w:pStyle w:val="ConsPlusNonformat"/>
        <w:jc w:val="both"/>
      </w:pPr>
      <w:r w:rsidRPr="00131BE0">
        <w:t>казначейства              ________________________        периода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по КОФК │       │</w:t>
      </w:r>
    </w:p>
    <w:p w:rsidR="00131BE0" w:rsidRPr="00131BE0" w:rsidRDefault="00131BE0">
      <w:pPr>
        <w:pStyle w:val="ConsPlusNonformat"/>
        <w:jc w:val="both"/>
      </w:pPr>
      <w:r w:rsidRPr="00131BE0">
        <w:t>Структурное подразделение ________________________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Единица измерения: руб.                                   по ОКЕИ </w:t>
      </w:r>
      <w:proofErr w:type="gramStart"/>
      <w:r w:rsidRPr="00131BE0">
        <w:t>│  383</w:t>
      </w:r>
      <w:proofErr w:type="gramEnd"/>
      <w:r w:rsidRPr="00131BE0">
        <w:t xml:space="preserve">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└───────┘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┌───────┐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Сумма невыясненных поступлений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на начало периода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└───────┘</w:t>
      </w:r>
    </w:p>
    <w:p w:rsidR="00131BE0" w:rsidRPr="00131BE0" w:rsidRDefault="00131BE0">
      <w:pPr>
        <w:pStyle w:val="ConsPlusNormal"/>
        <w:jc w:val="both"/>
      </w:pPr>
    </w:p>
    <w:tbl>
      <w:tblPr>
        <w:tblW w:w="0" w:type="auto"/>
        <w:tblInd w:w="-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680"/>
        <w:gridCol w:w="840"/>
        <w:gridCol w:w="840"/>
        <w:gridCol w:w="1800"/>
        <w:gridCol w:w="1080"/>
        <w:gridCol w:w="1080"/>
        <w:gridCol w:w="1800"/>
        <w:gridCol w:w="720"/>
        <w:gridCol w:w="2160"/>
      </w:tblGrid>
      <w:tr w:rsidR="00131BE0" w:rsidRPr="00131BE0">
        <w:trPr>
          <w:trHeight w:val="240"/>
        </w:trPr>
        <w:tc>
          <w:tcPr>
            <w:tcW w:w="1200" w:type="dxa"/>
            <w:vMerge w:val="restart"/>
            <w:tcBorders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Дата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операции</w:t>
            </w:r>
          </w:p>
        </w:tc>
        <w:tc>
          <w:tcPr>
            <w:tcW w:w="120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Дата    </w:t>
            </w:r>
          </w:p>
          <w:p w:rsidR="00131BE0" w:rsidRPr="00131BE0" w:rsidRDefault="00131BE0">
            <w:pPr>
              <w:pStyle w:val="ConsPlusNonformat"/>
              <w:jc w:val="both"/>
            </w:pPr>
            <w:proofErr w:type="spellStart"/>
            <w:r w:rsidRPr="00131BE0">
              <w:t>зачисле</w:t>
            </w:r>
            <w:proofErr w:type="spellEnd"/>
            <w:r w:rsidRPr="00131BE0">
              <w:t>-</w:t>
            </w:r>
          </w:p>
          <w:p w:rsidR="00131BE0" w:rsidRPr="00131BE0" w:rsidRDefault="00131BE0">
            <w:pPr>
              <w:pStyle w:val="ConsPlusNonformat"/>
              <w:jc w:val="both"/>
            </w:pPr>
            <w:proofErr w:type="spellStart"/>
            <w:r w:rsidRPr="00131BE0">
              <w:t>ния</w:t>
            </w:r>
            <w:proofErr w:type="spellEnd"/>
            <w:r w:rsidRPr="00131BE0">
              <w:t xml:space="preserve"> на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счет    </w:t>
            </w:r>
          </w:p>
        </w:tc>
        <w:tc>
          <w:tcPr>
            <w:tcW w:w="7320" w:type="dxa"/>
            <w:gridSpan w:val="6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               Документ                        </w:t>
            </w:r>
          </w:p>
        </w:tc>
        <w:tc>
          <w:tcPr>
            <w:tcW w:w="180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Код    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>классификации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операции  </w:t>
            </w:r>
          </w:p>
        </w:tc>
        <w:tc>
          <w:tcPr>
            <w:tcW w:w="720" w:type="dxa"/>
            <w:vMerge w:val="restart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Код 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>цели</w:t>
            </w:r>
          </w:p>
        </w:tc>
        <w:tc>
          <w:tcPr>
            <w:tcW w:w="2160" w:type="dxa"/>
            <w:vMerge w:val="restart"/>
            <w:tcBorders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Сумма по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документу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>(+ поступления,</w:t>
            </w:r>
          </w:p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- выплаты)</w:t>
            </w:r>
          </w:p>
        </w:tc>
      </w:tr>
      <w:tr w:rsidR="00131BE0" w:rsidRPr="00131BE0">
        <w:tc>
          <w:tcPr>
            <w:tcW w:w="1080" w:type="dxa"/>
            <w:vMerge/>
            <w:tcBorders>
              <w:top w:val="nil"/>
              <w:left w:val="nil"/>
            </w:tcBorders>
          </w:tcPr>
          <w:p w:rsidR="00131BE0" w:rsidRPr="00131BE0" w:rsidRDefault="00131BE0"/>
        </w:tc>
        <w:tc>
          <w:tcPr>
            <w:tcW w:w="108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680" w:type="dxa"/>
            <w:vMerge w:val="restart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номер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дата </w:t>
            </w:r>
          </w:p>
        </w:tc>
        <w:tc>
          <w:tcPr>
            <w:tcW w:w="3960" w:type="dxa"/>
            <w:gridSpan w:val="3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плательщик (</w:t>
            </w:r>
            <w:proofErr w:type="gramStart"/>
            <w:r w:rsidRPr="00131BE0">
              <w:t xml:space="preserve">клиент)   </w:t>
            </w:r>
            <w:proofErr w:type="gramEnd"/>
            <w:r w:rsidRPr="00131BE0">
              <w:t xml:space="preserve">  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60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2040" w:type="dxa"/>
            <w:vMerge/>
            <w:tcBorders>
              <w:top w:val="nil"/>
              <w:right w:val="nil"/>
            </w:tcBorders>
          </w:tcPr>
          <w:p w:rsidR="00131BE0" w:rsidRPr="00131BE0" w:rsidRDefault="00131BE0"/>
        </w:tc>
      </w:tr>
      <w:tr w:rsidR="00131BE0" w:rsidRPr="00131BE0">
        <w:tc>
          <w:tcPr>
            <w:tcW w:w="1080" w:type="dxa"/>
            <w:vMerge/>
            <w:tcBorders>
              <w:top w:val="nil"/>
              <w:left w:val="nil"/>
            </w:tcBorders>
          </w:tcPr>
          <w:p w:rsidR="00131BE0" w:rsidRPr="00131BE0" w:rsidRDefault="00131BE0"/>
        </w:tc>
        <w:tc>
          <w:tcPr>
            <w:tcW w:w="108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56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72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72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наименование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ИНН 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КПП  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600" w:type="dxa"/>
            <w:vMerge/>
            <w:tcBorders>
              <w:top w:val="nil"/>
            </w:tcBorders>
          </w:tcPr>
          <w:p w:rsidR="00131BE0" w:rsidRPr="00131BE0" w:rsidRDefault="00131BE0"/>
        </w:tc>
        <w:tc>
          <w:tcPr>
            <w:tcW w:w="2040" w:type="dxa"/>
            <w:vMerge/>
            <w:tcBorders>
              <w:top w:val="nil"/>
              <w:left w:val="nil"/>
              <w:right w:val="nil"/>
            </w:tcBorders>
          </w:tcPr>
          <w:p w:rsidR="00131BE0" w:rsidRPr="00131BE0" w:rsidRDefault="00131BE0"/>
        </w:tc>
      </w:tr>
      <w:tr w:rsidR="00131BE0" w:rsidRPr="00131BE0">
        <w:trPr>
          <w:trHeight w:val="240"/>
        </w:trPr>
        <w:tc>
          <w:tcPr>
            <w:tcW w:w="120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1   </w:t>
            </w: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2    </w:t>
            </w: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3    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4  </w:t>
            </w: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5  </w:t>
            </w: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6     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7   </w:t>
            </w: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8   </w:t>
            </w: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9      </w:t>
            </w: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10 </w:t>
            </w:r>
          </w:p>
        </w:tc>
        <w:tc>
          <w:tcPr>
            <w:tcW w:w="1320" w:type="dxa"/>
            <w:tcBorders>
              <w:top w:val="nil"/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11</w:t>
            </w:r>
          </w:p>
        </w:tc>
      </w:tr>
      <w:tr w:rsidR="00131BE0" w:rsidRPr="00131BE0">
        <w:trPr>
          <w:trHeight w:val="240"/>
        </w:trPr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</w:tbl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                            ┌───────────────┐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Сумма невыясненных поступлений │               │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           на конец периода │               │</w:t>
      </w:r>
    </w:p>
    <w:p w:rsidR="00131BE0" w:rsidRPr="00131BE0" w:rsidRDefault="00131BE0">
      <w:pPr>
        <w:pStyle w:val="ConsPlusCell"/>
        <w:jc w:val="both"/>
      </w:pPr>
      <w:r w:rsidRPr="00131BE0">
        <w:lastRenderedPageBreak/>
        <w:t xml:space="preserve">                                                                                            └───────────────┘</w:t>
      </w:r>
    </w:p>
    <w:p w:rsidR="00131BE0" w:rsidRPr="00131BE0" w:rsidRDefault="00131BE0">
      <w:pPr>
        <w:pStyle w:val="ConsPlusCell"/>
        <w:jc w:val="both"/>
      </w:pP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                            ┌───────────────┐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    Количество невыясненных │               │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документов на конец периода │               │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                                                             └───────────────┘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Начальник структурного</w:t>
      </w:r>
    </w:p>
    <w:p w:rsidR="00131BE0" w:rsidRPr="00131BE0" w:rsidRDefault="00131BE0">
      <w:pPr>
        <w:pStyle w:val="ConsPlusNonformat"/>
        <w:jc w:val="both"/>
      </w:pPr>
      <w:r w:rsidRPr="00131BE0">
        <w:t>подразделения            ______________ ___________ _______________________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(замещающее его </w:t>
      </w:r>
      <w:proofErr w:type="gramStart"/>
      <w:r w:rsidRPr="00131BE0">
        <w:t xml:space="preserve">лицо)   </w:t>
      </w:r>
      <w:proofErr w:type="gramEnd"/>
      <w:r w:rsidRPr="00131BE0">
        <w:t xml:space="preserve">   (должность)   (подпись)   (расшифровка подписи)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Ответственный</w:t>
      </w:r>
    </w:p>
    <w:p w:rsidR="00131BE0" w:rsidRPr="00131BE0" w:rsidRDefault="00131BE0">
      <w:pPr>
        <w:pStyle w:val="ConsPlusNonformat"/>
        <w:jc w:val="both"/>
      </w:pPr>
      <w:r w:rsidRPr="00131BE0">
        <w:t>исполнитель              ______________ ___________ _______________________ ______________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(</w:t>
      </w:r>
      <w:proofErr w:type="gramStart"/>
      <w:r w:rsidRPr="00131BE0">
        <w:t xml:space="preserve">должность)   </w:t>
      </w:r>
      <w:proofErr w:type="gramEnd"/>
      <w:r w:rsidRPr="00131BE0">
        <w:t xml:space="preserve"> (подпись)   (расшифровка подписи)    (телефон)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Номер страницы ______</w:t>
      </w:r>
    </w:p>
    <w:p w:rsidR="00131BE0" w:rsidRPr="00131BE0" w:rsidRDefault="00131BE0">
      <w:pPr>
        <w:pStyle w:val="ConsPlusNonformat"/>
        <w:jc w:val="both"/>
      </w:pPr>
      <w:r w:rsidRPr="00131BE0">
        <w:t>"__" ___________ 20__ г.                               Всего страниц ______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jc w:val="right"/>
      </w:pPr>
      <w:r w:rsidRPr="00131BE0">
        <w:t>Приложение N 3</w:t>
      </w:r>
    </w:p>
    <w:p w:rsidR="00131BE0" w:rsidRPr="00131BE0" w:rsidRDefault="00131BE0">
      <w:pPr>
        <w:pStyle w:val="ConsPlusNormal"/>
        <w:jc w:val="right"/>
      </w:pPr>
      <w:r w:rsidRPr="00131BE0">
        <w:t>к Порядку</w:t>
      </w:r>
    </w:p>
    <w:p w:rsidR="00131BE0" w:rsidRPr="00131BE0" w:rsidRDefault="00131BE0">
      <w:pPr>
        <w:pStyle w:val="ConsPlusNormal"/>
        <w:jc w:val="right"/>
      </w:pPr>
      <w:r w:rsidRPr="00131BE0">
        <w:t>осуществлении территориальными</w:t>
      </w:r>
    </w:p>
    <w:p w:rsidR="00131BE0" w:rsidRPr="00131BE0" w:rsidRDefault="00131BE0">
      <w:pPr>
        <w:pStyle w:val="ConsPlusNormal"/>
        <w:jc w:val="right"/>
      </w:pPr>
      <w:r w:rsidRPr="00131BE0">
        <w:t>органами Федерального казначейства</w:t>
      </w:r>
    </w:p>
    <w:p w:rsidR="00131BE0" w:rsidRPr="00131BE0" w:rsidRDefault="00131BE0">
      <w:pPr>
        <w:pStyle w:val="ConsPlusNormal"/>
        <w:jc w:val="right"/>
      </w:pPr>
      <w:r w:rsidRPr="00131BE0">
        <w:t>операций со средствами</w:t>
      </w:r>
    </w:p>
    <w:p w:rsidR="00131BE0" w:rsidRPr="00131BE0" w:rsidRDefault="00131BE0">
      <w:pPr>
        <w:pStyle w:val="ConsPlusNormal"/>
        <w:jc w:val="right"/>
      </w:pPr>
      <w:r w:rsidRPr="00131BE0">
        <w:t>Государственной компании</w:t>
      </w:r>
    </w:p>
    <w:p w:rsidR="00131BE0" w:rsidRPr="00131BE0" w:rsidRDefault="00131BE0">
      <w:pPr>
        <w:pStyle w:val="ConsPlusNormal"/>
        <w:jc w:val="right"/>
      </w:pPr>
      <w:r w:rsidRPr="00131BE0">
        <w:t>"Российские автомобильные дороги"</w:t>
      </w:r>
    </w:p>
    <w:p w:rsidR="00131BE0" w:rsidRPr="00131BE0" w:rsidRDefault="00131BE0">
      <w:pPr>
        <w:pStyle w:val="ConsPlusNormal"/>
        <w:jc w:val="right"/>
      </w:pPr>
      <w:r w:rsidRPr="00131BE0">
        <w:t>от 15 декабря 2009 г. N 13н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nformat"/>
        <w:jc w:val="both"/>
      </w:pPr>
      <w:bookmarkStart w:id="6" w:name="P291"/>
      <w:bookmarkEnd w:id="6"/>
      <w:r w:rsidRPr="00131BE0">
        <w:t xml:space="preserve">               Сводные сведения по лицевым счетам клиентов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┌───────┐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│ </w:t>
      </w:r>
      <w:proofErr w:type="gramStart"/>
      <w:r w:rsidRPr="00131BE0">
        <w:t>Коды  │</w:t>
      </w:r>
      <w:proofErr w:type="gramEnd"/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Код по КФД │0531854│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lastRenderedPageBreak/>
        <w:t xml:space="preserve">                      на "__" ____________ 20__ г.           Дата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>Орган Федерального казначейства _________________________ по КОФК │     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├───────┤</w:t>
      </w:r>
    </w:p>
    <w:p w:rsidR="00131BE0" w:rsidRPr="00131BE0" w:rsidRDefault="00131BE0">
      <w:pPr>
        <w:pStyle w:val="ConsPlusNonformat"/>
        <w:jc w:val="both"/>
      </w:pPr>
      <w:r w:rsidRPr="00131BE0">
        <w:t xml:space="preserve">Единица измерения: руб.                                   по ОКЕИ </w:t>
      </w:r>
      <w:proofErr w:type="gramStart"/>
      <w:r w:rsidRPr="00131BE0">
        <w:t>│  383</w:t>
      </w:r>
      <w:proofErr w:type="gramEnd"/>
      <w:r w:rsidRPr="00131BE0">
        <w:t xml:space="preserve">  │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           └───────┘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1. Остатки на лицевых счетах</w:t>
      </w:r>
    </w:p>
    <w:p w:rsidR="00131BE0" w:rsidRPr="00131BE0" w:rsidRDefault="00131BE0">
      <w:pPr>
        <w:pStyle w:val="ConsPlusNormal"/>
        <w:jc w:val="both"/>
      </w:pPr>
    </w:p>
    <w:tbl>
      <w:tblPr>
        <w:tblW w:w="0" w:type="auto"/>
        <w:tblInd w:w="-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760"/>
        <w:gridCol w:w="2880"/>
        <w:gridCol w:w="3720"/>
      </w:tblGrid>
      <w:tr w:rsidR="00131BE0" w:rsidRPr="00131BE0">
        <w:trPr>
          <w:trHeight w:val="240"/>
        </w:trPr>
        <w:tc>
          <w:tcPr>
            <w:tcW w:w="2760" w:type="dxa"/>
            <w:tcBorders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Код цели       </w:t>
            </w:r>
          </w:p>
        </w:tc>
        <w:tc>
          <w:tcPr>
            <w:tcW w:w="2880" w:type="dxa"/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>Остаток на начало года</w:t>
            </w:r>
          </w:p>
        </w:tc>
        <w:tc>
          <w:tcPr>
            <w:tcW w:w="3720" w:type="dxa"/>
            <w:tcBorders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Остаток на отчетную дату</w:t>
            </w:r>
          </w:p>
        </w:tc>
      </w:tr>
      <w:tr w:rsidR="00131BE0" w:rsidRPr="00131BE0">
        <w:trPr>
          <w:trHeight w:val="240"/>
        </w:trPr>
        <w:tc>
          <w:tcPr>
            <w:tcW w:w="2760" w:type="dxa"/>
            <w:tcBorders>
              <w:top w:val="nil"/>
              <w:lef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    1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   2           </w:t>
            </w:r>
          </w:p>
        </w:tc>
        <w:tc>
          <w:tcPr>
            <w:tcW w:w="1920" w:type="dxa"/>
            <w:tcBorders>
              <w:top w:val="nil"/>
              <w:right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  <w:r w:rsidRPr="00131BE0">
              <w:t xml:space="preserve">             3</w:t>
            </w:r>
          </w:p>
        </w:tc>
      </w:tr>
      <w:tr w:rsidR="00131BE0" w:rsidRPr="00131BE0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36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36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36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  <w:tr w:rsidR="00131BE0" w:rsidRPr="00131BE0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  <w:tc>
          <w:tcPr>
            <w:tcW w:w="3600" w:type="dxa"/>
            <w:tcBorders>
              <w:top w:val="nil"/>
            </w:tcBorders>
          </w:tcPr>
          <w:p w:rsidR="00131BE0" w:rsidRPr="00131BE0" w:rsidRDefault="00131BE0">
            <w:pPr>
              <w:pStyle w:val="ConsPlusNonformat"/>
              <w:jc w:val="both"/>
            </w:pPr>
          </w:p>
        </w:tc>
      </w:tr>
    </w:tbl>
    <w:p w:rsidR="00131BE0" w:rsidRPr="00131BE0" w:rsidRDefault="00131BE0">
      <w:pPr>
        <w:sectPr w:rsidR="00131BE0" w:rsidRPr="00131BE0">
          <w:pgSz w:w="16838" w:h="11905"/>
          <w:pgMar w:top="1701" w:right="1134" w:bottom="850" w:left="1134" w:header="0" w:footer="0" w:gutter="0"/>
          <w:cols w:space="720"/>
        </w:sectPr>
      </w:pP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2. Операции со средствами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Cell"/>
        <w:jc w:val="both"/>
      </w:pPr>
      <w:r w:rsidRPr="00131BE0">
        <w:t>──────────────────────┬────────┬─────────────┬─────────────┬───────────────</w:t>
      </w:r>
    </w:p>
    <w:p w:rsidR="00131BE0" w:rsidRPr="00131BE0" w:rsidRDefault="00131BE0">
      <w:pPr>
        <w:pStyle w:val="ConsPlusCell"/>
        <w:jc w:val="both"/>
      </w:pPr>
      <w:r w:rsidRPr="00131BE0">
        <w:t xml:space="preserve">   Код </w:t>
      </w:r>
      <w:proofErr w:type="gramStart"/>
      <w:r w:rsidRPr="00131BE0">
        <w:t>классификации  │</w:t>
      </w:r>
      <w:proofErr w:type="gramEnd"/>
      <w:r w:rsidRPr="00131BE0">
        <w:t>Код цели│ Поступления │   Выплаты   │ Итого (гр. 3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операции       │        │             │             │   - гр. 4)</w:t>
      </w:r>
    </w:p>
    <w:p w:rsidR="00131BE0" w:rsidRPr="00131BE0" w:rsidRDefault="00131BE0">
      <w:pPr>
        <w:pStyle w:val="ConsPlusCell"/>
        <w:jc w:val="both"/>
      </w:pPr>
      <w:r w:rsidRPr="00131BE0">
        <w:t>──────────────────────┼────────┼─────────────┼─────────────┼───────────────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1          │   2    │      3      │      4      │      5</w:t>
      </w:r>
    </w:p>
    <w:p w:rsidR="00131BE0" w:rsidRPr="00131BE0" w:rsidRDefault="00131BE0">
      <w:pPr>
        <w:pStyle w:val="ConsPlusCell"/>
        <w:jc w:val="both"/>
      </w:pPr>
      <w:r w:rsidRPr="00131BE0">
        <w:t>┌─────────────────────┼────────┼─────────────┼─────────────┼──────────────┐</w:t>
      </w:r>
    </w:p>
    <w:p w:rsidR="00131BE0" w:rsidRPr="00131BE0" w:rsidRDefault="00131BE0">
      <w:pPr>
        <w:pStyle w:val="ConsPlusCell"/>
        <w:jc w:val="both"/>
      </w:pPr>
      <w:r w:rsidRPr="00131BE0">
        <w:t>│                     │       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>├─────────────────────┼────────┼─────────────┼─────────────┼──────────────┤</w:t>
      </w:r>
    </w:p>
    <w:p w:rsidR="00131BE0" w:rsidRPr="00131BE0" w:rsidRDefault="00131BE0">
      <w:pPr>
        <w:pStyle w:val="ConsPlusCell"/>
        <w:jc w:val="both"/>
      </w:pPr>
      <w:r w:rsidRPr="00131BE0">
        <w:t>│                     │       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>├─────────────────────┼────────┼─────────────┼─────────────┼──────────────┤</w:t>
      </w:r>
    </w:p>
    <w:p w:rsidR="00131BE0" w:rsidRPr="00131BE0" w:rsidRDefault="00131BE0">
      <w:pPr>
        <w:pStyle w:val="ConsPlusCell"/>
        <w:jc w:val="both"/>
      </w:pPr>
      <w:r w:rsidRPr="00131BE0">
        <w:t>│                     │       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>├─────────────────────┼────────┼─────────────┼─────────────┼──────────────┤</w:t>
      </w:r>
    </w:p>
    <w:p w:rsidR="00131BE0" w:rsidRPr="00131BE0" w:rsidRDefault="00131BE0">
      <w:pPr>
        <w:pStyle w:val="ConsPlusCell"/>
        <w:jc w:val="both"/>
      </w:pPr>
      <w:r w:rsidRPr="00131BE0">
        <w:t>│                     │       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>├─────────────────────┼────────┼─────────────┼─────────────┼──────────────┤</w:t>
      </w:r>
    </w:p>
    <w:p w:rsidR="00131BE0" w:rsidRPr="00131BE0" w:rsidRDefault="00131BE0">
      <w:pPr>
        <w:pStyle w:val="ConsPlusCell"/>
        <w:jc w:val="both"/>
      </w:pPr>
      <w:r w:rsidRPr="00131BE0">
        <w:t>│ Итого: по коду цели │       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>└─────────────────────┴────────┼─────────────┼─────────────┼──────────────┤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Всего │             │             │              │</w:t>
      </w:r>
    </w:p>
    <w:p w:rsidR="00131BE0" w:rsidRPr="00131BE0" w:rsidRDefault="00131BE0">
      <w:pPr>
        <w:pStyle w:val="ConsPlusCell"/>
        <w:jc w:val="both"/>
      </w:pPr>
      <w:r w:rsidRPr="00131BE0">
        <w:t xml:space="preserve">                               └─────────────┴─────────────┴──────────────┘</w:t>
      </w:r>
    </w:p>
    <w:p w:rsidR="00131BE0" w:rsidRPr="00131BE0" w:rsidRDefault="00131BE0">
      <w:pPr>
        <w:pStyle w:val="ConsPlusNormal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Руководитель                         ______________ _______________________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(уполномоченное </w:t>
      </w:r>
      <w:proofErr w:type="gramStart"/>
      <w:r w:rsidRPr="00131BE0">
        <w:t xml:space="preserve">лицо)   </w:t>
      </w:r>
      <w:proofErr w:type="gramEnd"/>
      <w:r w:rsidRPr="00131BE0">
        <w:t xml:space="preserve">               (подпись)     (расшифровка подписи)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Ответственный</w:t>
      </w:r>
    </w:p>
    <w:p w:rsidR="00131BE0" w:rsidRPr="00131BE0" w:rsidRDefault="00131BE0">
      <w:pPr>
        <w:pStyle w:val="ConsPlusNonformat"/>
        <w:jc w:val="both"/>
      </w:pPr>
      <w:r w:rsidRPr="00131BE0">
        <w:t>исполнитель   ______________ ___________ ______________________ ___________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(</w:t>
      </w:r>
      <w:proofErr w:type="gramStart"/>
      <w:r w:rsidRPr="00131BE0">
        <w:t xml:space="preserve">должность)   </w:t>
      </w:r>
      <w:proofErr w:type="gramEnd"/>
      <w:r w:rsidRPr="00131BE0">
        <w:t xml:space="preserve"> (подпись)   (расшифровка подписи)  (телефон)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>"__" ___________ 20__ г.</w:t>
      </w:r>
    </w:p>
    <w:p w:rsidR="00131BE0" w:rsidRPr="00131BE0" w:rsidRDefault="00131BE0">
      <w:pPr>
        <w:pStyle w:val="ConsPlusNonformat"/>
        <w:jc w:val="both"/>
      </w:pP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Номер страницы ______</w:t>
      </w:r>
    </w:p>
    <w:p w:rsidR="00131BE0" w:rsidRPr="00131BE0" w:rsidRDefault="00131BE0">
      <w:pPr>
        <w:pStyle w:val="ConsPlusNonformat"/>
        <w:jc w:val="both"/>
      </w:pPr>
      <w:r w:rsidRPr="00131BE0">
        <w:t xml:space="preserve">                                                       Всего страниц ______</w:t>
      </w: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ind w:firstLine="540"/>
        <w:jc w:val="both"/>
      </w:pPr>
    </w:p>
    <w:p w:rsidR="00131BE0" w:rsidRPr="00131BE0" w:rsidRDefault="00131BE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24B7" w:rsidRPr="00131BE0" w:rsidRDefault="002224B7"/>
    <w:sectPr w:rsidR="002224B7" w:rsidRPr="00131BE0" w:rsidSect="00223C4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E0"/>
    <w:rsid w:val="000C5B65"/>
    <w:rsid w:val="00131BE0"/>
    <w:rsid w:val="0022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DCBE6B-5A9D-41AA-BB5B-67A516E5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1B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1B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1B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1B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1B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4292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Мочалкина Анна Владимировна</dc:creator>
  <cp:keywords/>
  <dc:description/>
  <cp:lastModifiedBy>Шабашова Анастасия Юрьевна</cp:lastModifiedBy>
  <cp:revision>2</cp:revision>
  <dcterms:created xsi:type="dcterms:W3CDTF">2015-09-22T09:23:00Z</dcterms:created>
  <dcterms:modified xsi:type="dcterms:W3CDTF">2015-09-23T06:48:00Z</dcterms:modified>
</cp:coreProperties>
</file>